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6d9f9535e491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50299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REGIONALNI KOORDINATOR SISAČKO-MOSLAVAČKE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1.420.261,19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10.645.044,96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1.042.809,92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1.347.553,57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377.451,27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9.297.491,39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2463,2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842.611,73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9.488.707,39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842.611,73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9.488.707,39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465.160,46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191.216,00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41,1</w:t>
            </w:r>
          </w:p>
        </w:tc>
      </w:tr>
    </w:tbl>
    <w:p>
      <w:pPr>
        <w:spacing w:before="0" w:after="0"/>
      </w:pPr>
    </w:p>
    <w:p>
      <w:r>
        <w:t xml:space="preserve">Prihodi poslovanja </w:t>
      </w:r>
    </w:p>
    <w:p>
      <w:r>
        <w:t xml:space="preserve">Ostvareni prihodi za razdoblje od 01.01. do 31.12.2024. godine iznose 10.645.044,96 eur . Prihodi nadležnog proračuna iznose 549.768,33 eur </w:t>
      </w:r>
    </w:p>
    <w:p>
      <w:r>
        <w:t xml:space="preserve">U strukturi ostvarenih prihoda pojedinačno je najznačajniji prihod temljem prijenosa EU sredstava Ugovor o dodjeli bespovratnih sredstava za projekte koji se financiraju iz "Integriranog teritorijalnog programa " u finacijskom razdoblju 2021.-2027.  IP.4.1.01.0001 Centar gaming industrije u iznosu od 9.542.761,88 eur zatim korištenje sredstava EU fondova po sklopljenom Sporazumu o dodjeli bespovratnih sredstava u provedbi aktivnosti jačanja kapaciteti na regionalnoj i lokalnoj razini za korištenje sredstva EU fondova između Ministarstva regionalnog razvooja i Europske unije ,a za sredstva tehničke pomoći Programa konkuretnosti i kohezije 2021.-2027. u iznosu od 500.000,00 eur te Ugovora o dodjeli bespovratnih sredstava za provedbu aktivnosti europskih digitalnih i inovacijskih centara usmjerenih na pružanje usluga poduzetnicima - Podrška za digitalne centre za inovacije u iznosu od 49.796,50 eur .</w:t>
      </w:r>
    </w:p>
    <w:p>
      <w:r>
        <w:t xml:space="preserve">Rashodi poslovanja </w:t>
      </w:r>
    </w:p>
    <w:p>
      <w:r>
        <w:t xml:space="preserve">Rashodi poslovanja iznose 1.347.553,57 eur te su u odnosu na prethodnu godinu veći za iznos od 304.743,65 eur . U skladu s zakonskim propisima kao rashodi su prikazani rashodi koje se odnose na izvještajno razdoblje neovisno jesu li plaćeni u izvještajnom razdoblju . U strukturi rashoda poslovanja pojedinačno su značajniji rashodi za zaposlene u iznosu od 1.149.516,01 eur .</w:t>
      </w:r>
    </w:p>
    <w:p>
      <w:r>
        <w:t xml:space="preserve">Rashodi za nabavu nefinancijske imovine </w:t>
      </w:r>
    </w:p>
    <w:p>
      <w:r>
        <w:t xml:space="preserve">Rashodi za nabavu nefinancijske imovine</w:t>
      </w:r>
    </w:p>
    <w:p>
      <w:r>
        <w:t xml:space="preserve">Rashodi za nabavu nefinancijske imovine 9.488.707,39 . Pojedinačno je najznačajnije ulaganje u Centar gaming industrije u iznosu od 9.460.007,39 eur temeljem Ugovora o dodjeli bespovratnih sredstava za projekte koji se financiraju iz Integriranog teritorijalnog programa , u financijskom razdoblju 2021.-2027. Ugovor IP.4.1.01.0001 Centar gaming industrije .</w:t>
      </w:r>
    </w:p>
    <w:p>
      <w:r>
        <w:t xml:space="preserve">Manjak prihoda razdoblje </w:t>
      </w:r>
    </w:p>
    <w:p>
      <w:r>
        <w:t xml:space="preserve">Obzirom da ukupni prihodi iznose 10.645,044,96 eur te ukupni rashodi poslovanja 1.347.553,57 eur te ukupni rashodi za nabavu nefinancijske imovine u iznosu od 9.488.707.39 eur , manjak prihoda nad rashodima iznosi 191.216 eur .</w:t>
      </w:r>
    </w:p>
    <w:p>
      <w:r>
        <w:t xml:space="preserve">Viškom prethodnog razdoblja pokriti će se se iznos manjka prihoda nad rashodima te nakon pokrića manjka razdoblja , višak prhoda za prijenos iznosi 238.034,47 eur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iznose ukupno 3.191.287,10 eur .  Obveze na saldu pod 31.12.2025. godine su nedospjele . Pojedinačno je najznačajnija obveza po primljenom predujmu temljem prijenosa Eu sredstava u iznosu od 2.037.319,94 eur te obveza prema dobavljaču za nabavu nefinancijske imovine u pripremi u iznosu od 1.023.714,91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Ukupne obveze iznose 3.191.287,10 eur te nema dospjelih obveza . U strukturi obveza pojedinačno je najznačajnija obveza za predujmove temeljem prijenosa iz EU u iznosu od  2.037.319,94 eur te obveza za nabavu dugotrajne imovine u pripremi u iznosu od 1.023.714,91 eur 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f44dfd5524848" /></Relationships>
</file>